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9" w:rsidRPr="00CD1FAC" w:rsidRDefault="006B1369" w:rsidP="006B1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«</w:t>
      </w:r>
      <w:proofErr w:type="spellStart"/>
      <w:r w:rsidR="000B5259">
        <w:rPr>
          <w:rFonts w:ascii="Times New Roman" w:hAnsi="Times New Roman" w:cs="Times New Roman"/>
          <w:b/>
          <w:sz w:val="32"/>
          <w:szCs w:val="32"/>
        </w:rPr>
        <w:t>Лёвушка</w:t>
      </w:r>
      <w:proofErr w:type="spellEnd"/>
      <w:r w:rsidRPr="00CD1FA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:rsidR="006B1369" w:rsidRDefault="00117E1D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</w:r>
      <w:r w:rsidR="002D358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30.2pt;height:1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0B5259" w:rsidRDefault="002D3581" w:rsidP="000B5259">
                  <w:pPr>
                    <w:jc w:val="center"/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</w:pPr>
                  <w:r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  <w:t>Паспорт старшей</w:t>
                  </w:r>
                  <w:r w:rsidR="000B5259"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  <w:t xml:space="preserve"> группы</w:t>
                  </w:r>
                </w:p>
                <w:p w:rsidR="000B5259" w:rsidRDefault="002D3581" w:rsidP="000B5259">
                  <w:pPr>
                    <w:jc w:val="center"/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</w:pPr>
                  <w:r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  <w:t>«Ягод</w:t>
                  </w:r>
                  <w:r w:rsidR="000B5259">
                    <w:rPr>
                      <w:rFonts w:ascii="Arial Black" w:hAnsi="Arial Black"/>
                      <w:shadow/>
                      <w:color w:val="7030A0"/>
                      <w:sz w:val="72"/>
                      <w:szCs w:val="72"/>
                    </w:rPr>
                    <w:t>ка»</w:t>
                  </w:r>
                </w:p>
              </w:txbxContent>
            </v:textbox>
            <w10:wrap type="none"/>
            <w10:anchorlock/>
          </v:shape>
        </w:pict>
      </w:r>
    </w:p>
    <w:p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369" w:rsidRPr="00F94FAD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4FAD">
        <w:rPr>
          <w:rFonts w:ascii="Times New Roman" w:hAnsi="Times New Roman" w:cs="Times New Roman"/>
          <w:sz w:val="24"/>
          <w:szCs w:val="24"/>
        </w:rPr>
        <w:t xml:space="preserve">Выполнила </w:t>
      </w:r>
      <w:r w:rsidR="002D3581">
        <w:rPr>
          <w:rFonts w:ascii="Times New Roman" w:hAnsi="Times New Roman" w:cs="Times New Roman"/>
          <w:sz w:val="24"/>
          <w:szCs w:val="24"/>
        </w:rPr>
        <w:t>Белых Т</w:t>
      </w:r>
      <w:r w:rsidR="000B5259">
        <w:rPr>
          <w:rFonts w:ascii="Times New Roman" w:hAnsi="Times New Roman" w:cs="Times New Roman"/>
          <w:sz w:val="24"/>
          <w:szCs w:val="24"/>
        </w:rPr>
        <w:t>.А</w:t>
      </w:r>
      <w:r w:rsidRPr="00F94FAD">
        <w:rPr>
          <w:rFonts w:ascii="Times New Roman" w:hAnsi="Times New Roman" w:cs="Times New Roman"/>
          <w:sz w:val="24"/>
          <w:szCs w:val="24"/>
        </w:rPr>
        <w:t xml:space="preserve">, воспитатель </w:t>
      </w:r>
    </w:p>
    <w:p w:rsidR="000B5259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B1369" w:rsidRPr="00F94FAD" w:rsidRDefault="002D3581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</w:t>
      </w:r>
      <w:r w:rsidR="000B5259">
        <w:rPr>
          <w:rFonts w:ascii="Times New Roman" w:hAnsi="Times New Roman" w:cs="Times New Roman"/>
          <w:sz w:val="24"/>
          <w:szCs w:val="24"/>
        </w:rPr>
        <w:t>й</w:t>
      </w:r>
      <w:r w:rsidR="006B1369" w:rsidRPr="00F94F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259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:rsidR="000B5259" w:rsidRPr="000B5259" w:rsidRDefault="000B5259" w:rsidP="000B5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Кольцово</w:t>
      </w:r>
    </w:p>
    <w:p w:rsidR="000B525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Паспорт группы</w:t>
      </w:r>
    </w:p>
    <w:p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групповой комнаты </w:t>
      </w:r>
    </w:p>
    <w:p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раздевалки (приемной) </w:t>
      </w:r>
    </w:p>
    <w:p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мойки</w:t>
      </w:r>
    </w:p>
    <w:p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туалетной и умывальной комнаты  </w:t>
      </w:r>
    </w:p>
    <w:p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/>
      </w:tblPr>
      <w:tblGrid>
        <w:gridCol w:w="2969"/>
        <w:gridCol w:w="3192"/>
        <w:gridCol w:w="2985"/>
      </w:tblGrid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rPr>
          <w:trHeight w:val="766"/>
        </w:trPr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:rsidR="006B1369" w:rsidRPr="006F1EC5" w:rsidRDefault="000B525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:rsidTr="007D3CA4">
        <w:tc>
          <w:tcPr>
            <w:tcW w:w="1623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63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/>
      </w:tblPr>
      <w:tblGrid>
        <w:gridCol w:w="2967"/>
        <w:gridCol w:w="3189"/>
        <w:gridCol w:w="2988"/>
      </w:tblGrid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:rsidTr="007D3CA4">
        <w:tc>
          <w:tcPr>
            <w:tcW w:w="1622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787"/>
        <w:gridCol w:w="4534"/>
      </w:tblGrid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6B1369" w:rsidRPr="006F1EC5" w:rsidRDefault="006B1369" w:rsidP="007D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93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родителях воспитанников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:rsidTr="007D3CA4"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воспитанниками 5 -6  лет, старшей группы «Ягодка»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:rsidTr="007D3CA4">
        <w:trPr>
          <w:trHeight w:val="975"/>
        </w:trPr>
        <w:tc>
          <w:tcPr>
            <w:tcW w:w="5268" w:type="dxa"/>
          </w:tcPr>
          <w:p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работы с воспитанниками 5- 6  лет, старшей группы «Ягодка»</w:t>
            </w:r>
          </w:p>
        </w:tc>
        <w:tc>
          <w:tcPr>
            <w:tcW w:w="4938" w:type="dxa"/>
          </w:tcPr>
          <w:p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старших групп детского сада</w:t>
      </w:r>
    </w:p>
    <w:p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6B1369" w:rsidRPr="006F1EC5" w:rsidRDefault="006B1369" w:rsidP="006B13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1856"/>
        <w:gridCol w:w="2320"/>
        <w:gridCol w:w="1740"/>
      </w:tblGrid>
      <w:tr w:rsidR="006B1369" w:rsidRPr="006F1EC5" w:rsidTr="007D3CA4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 детей (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(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9629"/>
        <w:gridCol w:w="806"/>
      </w:tblGrid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сказочных</w:t>
            </w:r>
            <w:proofErr w:type="gram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произведения,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Альбомы, составленные воспитателем вместе с детьми (открытки, рисунки, </w:t>
            </w: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иллюстрации)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2D3581"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:rsidTr="002D3581">
        <w:trPr>
          <w:trHeight w:val="70"/>
        </w:trPr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:rsidTr="002D3581">
        <w:trPr>
          <w:trHeight w:val="70"/>
        </w:trPr>
        <w:tc>
          <w:tcPr>
            <w:tcW w:w="56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«Мирная считалка». С. Городецкий. «Котенок»; Ф. Тютчев. «Зима недаром злится…»;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«Веревочка».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Кот-ворюга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«Серая звездочка»; А. Пушкин. «Сказка о царе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«Баллада о королевском бутерброде», пер. с англ. С. Маршака; В. Смит. «Про летающую корову», пер. с англ.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Ривз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Шумный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Ба-бах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Мякеля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«Господин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у» (главы из книги), пер. с финск. Э. Успенского; Р. Киплинг. «Слоненок», пер. с англ. К. Чуковского, стихи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Маршака; А. Линдгрен.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живет на крыше, опять прилетел» (главы в сокр.),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Л.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дубочку постучишь...», рус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ар. песня; И. Белоусов. «Весенняя гостья»; Е. Благинина. «Посидим в тишине»; Г.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Я. Акима;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 Исаковский. «Поезжай за моря-океаны»; М.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«Мирная считалка», пер. с франц. В.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А. Пушкин. «У лукоморья дуб зеленый...» (из поэмы «Руслан и Людмила»); И. Суриков. «Вот моя деревня».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“»; М. Москвина. «Кроха»; А. Митяев. «Сказка про трех пиратов».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Жадина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«Домик с трубой»;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том, у кого три глаза», пер. с англ.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«Приятная встреча»; С.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«Волк»; А. Плещеев. «Мой садик»; С. Маршак. «Почта».</w:t>
            </w:r>
          </w:p>
          <w:p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«Волшебный барабан» (из книги «Сказки, у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конца»),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Константиновой; Т.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самом последнем в мире драконе»,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tbl>
      <w:tblPr>
        <w:tblpPr w:leftFromText="180" w:rightFromText="180" w:vertAnchor="text" w:horzAnchor="margin" w:tblpXSpec="center" w:tblpY="-81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30"/>
        <w:gridCol w:w="851"/>
      </w:tblGrid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фиалка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:rsidR="002D3581" w:rsidRPr="006F1EC5" w:rsidRDefault="002D3581" w:rsidP="002D35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Каланхое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:rsidR="002D3581" w:rsidRPr="006F1EC5" w:rsidRDefault="002D3581" w:rsidP="002D35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:rsidR="002D3581" w:rsidRPr="006F1EC5" w:rsidRDefault="002D3581" w:rsidP="002D35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:rsidR="002D3581" w:rsidRPr="006F1EC5" w:rsidRDefault="002D3581" w:rsidP="002D35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:rsidR="002D3581" w:rsidRPr="006F1EC5" w:rsidRDefault="002D3581" w:rsidP="002D358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наших лесов</w:t>
            </w:r>
          </w:p>
          <w:p w:rsidR="002D3581" w:rsidRPr="006F1EC5" w:rsidRDefault="002D3581" w:rsidP="002D358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цветы</w:t>
            </w:r>
          </w:p>
          <w:p w:rsidR="002D3581" w:rsidRPr="006F1EC5" w:rsidRDefault="002D3581" w:rsidP="002D35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:rsidR="002D3581" w:rsidRPr="006F1EC5" w:rsidRDefault="002D3581" w:rsidP="002D35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Пуливезатор-распылитель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52"/>
        <w:gridCol w:w="987"/>
      </w:tblGrid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70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2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987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</w:t>
      </w:r>
      <w:proofErr w:type="gramStart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proofErr w:type="gramEnd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окружающим</w:t>
      </w:r>
      <w:proofErr w:type="gramEnd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мире, развитие логического мышления, памяти, смекалки, интереса к действиям с числами, геометрическими фигурами и т.д.</w:t>
      </w:r>
    </w:p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59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8195"/>
        <w:gridCol w:w="949"/>
      </w:tblGrid>
      <w:tr w:rsidR="002D3581" w:rsidRPr="006F1EC5" w:rsidTr="002D3581">
        <w:trPr>
          <w:trHeight w:val="332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59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59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59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73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59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rPr>
          <w:trHeight w:val="166"/>
        </w:trPr>
        <w:tc>
          <w:tcPr>
            <w:tcW w:w="81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5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949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>знакомление детей со свойствами воды и песка, способами  обследования;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348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0"/>
        <w:gridCol w:w="987"/>
      </w:tblGrid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:rsidTr="002D3581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0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1"/>
        <w:gridCol w:w="986"/>
      </w:tblGrid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:rsidR="002D3581" w:rsidRPr="006F1EC5" w:rsidRDefault="002D3581" w:rsidP="002D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2D3581" w:rsidRPr="006F1EC5" w:rsidTr="002D3581">
        <w:tc>
          <w:tcPr>
            <w:tcW w:w="85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986" w:type="dxa"/>
            <w:shd w:val="clear" w:color="auto" w:fill="auto"/>
          </w:tcPr>
          <w:p w:rsidR="002D3581" w:rsidRPr="006F1EC5" w:rsidRDefault="002D3581" w:rsidP="002D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p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</w:t>
      </w:r>
      <w:proofErr w:type="gramStart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725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трех секционная ширма,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2"/>
        <w:gridCol w:w="987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2"/>
        <w:gridCol w:w="987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«Художественно-эстетического  развития»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725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барабан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  <w:proofErr w:type="gramEnd"/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:rsidR="006B1369" w:rsidRPr="006F1EC5" w:rsidRDefault="006B1369" w:rsidP="007D3C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987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725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987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Кисточка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беличья№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Кисточка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беличья№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на тоненький ледок…»;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Николенька-гусачок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я колышки тешу…»; «Как у бабушки козел…»; «Ты мороз, мороз, мороз…»; «По дубочку постучишь — прилетает синий чиж…»;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Ранним-рано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поутру…»;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Грачи-киричи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«Лиса и кувшин», обр. О. Капицы;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ясный сокол», обр. А. Платонова.</w:t>
      </w:r>
      <w:proofErr w:type="gramEnd"/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«Гречку мыли»,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  <w:proofErr w:type="gramEnd"/>
    </w:p>
    <w:p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К.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Шаврова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К. Паустовского; «Три золотых волоска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Деда-Всеведа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«Физического  развития»</w:t>
      </w:r>
    </w:p>
    <w:p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221"/>
        <w:gridCol w:w="987"/>
      </w:tblGrid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напольный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:rsidTr="006B1369">
        <w:tc>
          <w:tcPr>
            <w:tcW w:w="85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987" w:type="dxa"/>
            <w:shd w:val="clear" w:color="auto" w:fill="auto"/>
          </w:tcPr>
          <w:p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1369" w:rsidRDefault="006B1369" w:rsidP="006B1369">
      <w:pPr>
        <w:rPr>
          <w:rFonts w:ascii="Times New Roman" w:hAnsi="Times New Roman" w:cs="Times New Roman"/>
          <w:sz w:val="28"/>
        </w:rPr>
      </w:pPr>
    </w:p>
    <w:p w:rsidR="006B1369" w:rsidRDefault="006B1369" w:rsidP="006B1369">
      <w:pPr>
        <w:rPr>
          <w:rFonts w:ascii="Times New Roman" w:hAnsi="Times New Roman" w:cs="Times New Roman"/>
          <w:sz w:val="28"/>
        </w:rPr>
      </w:pPr>
    </w:p>
    <w:p w:rsidR="007064AC" w:rsidRDefault="002D3581"/>
    <w:sectPr w:rsidR="007064AC" w:rsidSect="006B136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159D3"/>
    <w:multiLevelType w:val="hybridMultilevel"/>
    <w:tmpl w:val="6FA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53E57"/>
    <w:multiLevelType w:val="hybridMultilevel"/>
    <w:tmpl w:val="E98668F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18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69"/>
    <w:rsid w:val="000B5259"/>
    <w:rsid w:val="00117E1D"/>
    <w:rsid w:val="0024405F"/>
    <w:rsid w:val="002D3581"/>
    <w:rsid w:val="005C51CB"/>
    <w:rsid w:val="006B1369"/>
    <w:rsid w:val="009D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3894</Words>
  <Characters>22201</Characters>
  <Application>Microsoft Office Word</Application>
  <DocSecurity>0</DocSecurity>
  <Lines>185</Lines>
  <Paragraphs>52</Paragraphs>
  <ScaleCrop>false</ScaleCrop>
  <Company>DG Win&amp;Soft</Company>
  <LinksUpToDate>false</LinksUpToDate>
  <CharactersWithSpaces>26043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2021-10-23T08:02:00Z</dcterms:created>
  <dcterms:modified xsi:type="dcterms:W3CDTF">2021-11-09T04:02:00Z</dcterms:modified>
</cp:coreProperties>
</file>